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28EAD">
      <w:pPr>
        <w:spacing w:after="0" w:line="240" w:lineRule="auto"/>
        <w:rPr>
          <w:rFonts w:cstheme="minorHAnsi"/>
          <w:b/>
          <w:bCs/>
          <w:color w:val="000000" w:themeColor="text1"/>
          <w:sz w:val="32"/>
          <w:szCs w:val="32"/>
          <w14:textFill>
            <w14:solidFill>
              <w14:schemeClr w14:val="tx1"/>
            </w14:solidFill>
          </w14:textFill>
        </w:rPr>
      </w:pPr>
      <w:bookmarkStart w:id="0" w:name="_GoBack"/>
      <w:bookmarkEnd w:id="0"/>
      <w:r>
        <w:rPr>
          <w:rFonts w:cstheme="minorHAnsi"/>
          <w:b/>
          <w:bCs/>
          <w:color w:val="000000" w:themeColor="text1"/>
          <w:sz w:val="32"/>
          <w:szCs w:val="32"/>
          <w14:textFill>
            <w14:solidFill>
              <w14:schemeClr w14:val="tx1"/>
            </w14:solidFill>
          </w14:textFill>
        </w:rPr>
        <w:t>5-year reaccreditation policy – redrafted March 2020</w:t>
      </w:r>
    </w:p>
    <w:p w14:paraId="1ECADBBF">
      <w:pPr>
        <w:spacing w:after="0" w:line="240" w:lineRule="auto"/>
        <w:rPr>
          <w:rFonts w:cstheme="minorHAnsi"/>
          <w:color w:val="000000" w:themeColor="text1"/>
          <w14:textFill>
            <w14:solidFill>
              <w14:schemeClr w14:val="tx1"/>
            </w14:solidFill>
          </w14:textFill>
        </w:rPr>
      </w:pPr>
    </w:p>
    <w:p w14:paraId="716B8BCA">
      <w:pPr>
        <w:spacing w:after="0" w:line="240" w:lineRule="auto"/>
        <w:rPr>
          <w:rFonts w:cstheme="minorHAnsi"/>
          <w:color w:val="000000" w:themeColor="text1"/>
          <w14:textFill>
            <w14:solidFill>
              <w14:schemeClr w14:val="tx1"/>
            </w14:solidFill>
          </w14:textFill>
        </w:rPr>
      </w:pPr>
    </w:p>
    <w:p w14:paraId="4948B7DC">
      <w:pPr>
        <w:spacing w:after="0" w:line="240" w:lineRule="auto"/>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 xml:space="preserve">1. Introduction </w:t>
      </w:r>
    </w:p>
    <w:p w14:paraId="0783A38B">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 xml:space="preserve"> All Individual Members of CPJA, whether registering directly through the CPJA or through an Organisational Member (OM), are subject to reaccreditation 5 yearly.  </w:t>
      </w:r>
    </w:p>
    <w:p w14:paraId="7097696F">
      <w:pPr>
        <w:spacing w:after="0" w:line="240" w:lineRule="auto"/>
        <w:rPr>
          <w:rFonts w:cstheme="minorHAnsi"/>
          <w:color w:val="000000" w:themeColor="text1"/>
          <w14:textFill>
            <w14:solidFill>
              <w14:schemeClr w14:val="tx1"/>
            </w14:solidFill>
          </w14:textFill>
        </w:rPr>
      </w:pPr>
    </w:p>
    <w:p w14:paraId="0B96B940">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 xml:space="preserve">The reaccreditation policy is reviewed and delivered by the CPJA reaccreditation committee (RC). The purpose of reaccreditation is to support and encourage psychotherapists in maintaining their interest,  </w:t>
      </w:r>
    </w:p>
    <w:p w14:paraId="1FA048AD">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commitment and morale in undertaking psychoanalytic practice. This will enable them to better provide forthe need of patients for effective, safe and ethical psychotherapy.  </w:t>
      </w:r>
    </w:p>
    <w:p w14:paraId="2B31F153">
      <w:pPr>
        <w:spacing w:after="0" w:line="240" w:lineRule="auto"/>
        <w:rPr>
          <w:rFonts w:cstheme="minorHAnsi"/>
          <w:color w:val="000000" w:themeColor="text1"/>
          <w14:textFill>
            <w14:solidFill>
              <w14:schemeClr w14:val="tx1"/>
            </w14:solidFill>
          </w14:textFill>
        </w:rPr>
      </w:pPr>
    </w:p>
    <w:p w14:paraId="065BFE21">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This policy sets out the requirements for reaccreditation to the UKCP register.</w:t>
      </w:r>
    </w:p>
    <w:p w14:paraId="4C44A0FB">
      <w:pPr>
        <w:spacing w:after="0" w:line="240" w:lineRule="auto"/>
        <w:rPr>
          <w:rFonts w:cstheme="minorHAnsi"/>
          <w:color w:val="000000" w:themeColor="text1"/>
          <w14:textFill>
            <w14:solidFill>
              <w14:schemeClr w14:val="tx1"/>
            </w14:solidFill>
          </w14:textFill>
        </w:rPr>
      </w:pPr>
    </w:p>
    <w:p w14:paraId="66A90CE9">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Both individual members, who are members of an OM and Direct Member (DMs) must meet the same requirements set out in this policy. Direct members (DMs) as opposed to IMs of an OM, may be working in isolated environments and it is deemed important that the reaccreditation process allows for a degree of conversational interaction supplementary to supervision/consultation. This live interaction is the only difference between the two forms of reaccreditation basic requirements.</w:t>
      </w:r>
    </w:p>
    <w:p w14:paraId="087141F1">
      <w:pPr>
        <w:spacing w:after="0" w:line="240" w:lineRule="auto"/>
        <w:rPr>
          <w:rFonts w:cstheme="minorHAnsi"/>
          <w:color w:val="000000" w:themeColor="text1"/>
          <w14:textFill>
            <w14:solidFill>
              <w14:schemeClr w14:val="tx1"/>
            </w14:solidFill>
          </w14:textFill>
        </w:rPr>
      </w:pPr>
    </w:p>
    <w:p w14:paraId="7069F83B">
      <w:pPr>
        <w:spacing w:after="0" w:line="240" w:lineRule="auto"/>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2. Procedure</w:t>
      </w:r>
    </w:p>
    <w:p w14:paraId="789E52B1">
      <w:pPr>
        <w:rPr>
          <w:color w:val="000000" w:themeColor="text1"/>
          <w14:textFill>
            <w14:solidFill>
              <w14:schemeClr w14:val="tx1"/>
            </w14:solidFill>
          </w14:textFill>
        </w:rPr>
      </w:pPr>
      <w:r>
        <w:rPr>
          <w:rFonts w:cstheme="minorHAnsi"/>
          <w:color w:val="000000" w:themeColor="text1"/>
          <w14:textFill>
            <w14:solidFill>
              <w14:schemeClr w14:val="tx1"/>
            </w14:solidFill>
          </w14:textFill>
        </w:rPr>
        <w:t>2.1 Write a reflective description of their psychoanalytic practice undertaken over the previous 5 years and how this has evolved. This should include the nature and context of their clinical work in all its aspects. All CPJA IM’s must be in active clinical practice.    </w:t>
      </w:r>
      <w:r>
        <w:rPr>
          <w:color w:val="000000" w:themeColor="text1"/>
          <w14:textFill>
            <w14:solidFill>
              <w14:schemeClr w14:val="tx1"/>
            </w14:solidFill>
          </w14:textFill>
        </w:rPr>
        <w:t>UKCP Policy for Continuing Professional Development (CPD) (© UKCP January 2015), Specifies that a break of more than 3 months is considered a sabbatical. Members should notify their OM and for direct members, they must notify the CPJA administrator. (refer to restoration to the register UKCP 2021). For DM’s CPJA Return to Practice 2020.</w:t>
      </w:r>
    </w:p>
    <w:p w14:paraId="3C43D38B">
      <w:pPr>
        <w:spacing w:after="0" w:line="240" w:lineRule="auto"/>
        <w:rPr>
          <w:rFonts w:cstheme="minorHAnsi"/>
          <w:color w:val="000000" w:themeColor="text1"/>
          <w14:textFill>
            <w14:solidFill>
              <w14:schemeClr w14:val="tx1"/>
            </w14:solidFill>
          </w14:textFill>
        </w:rPr>
      </w:pPr>
    </w:p>
    <w:p w14:paraId="3E751C57">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2.2 Declare an awareness of, and working within, UKCP’s Diversity and Equality Policy, showing an understanding of the complexity and range of the challenging issues of diversity and equality of access.</w:t>
      </w:r>
    </w:p>
    <w:p w14:paraId="034DD91A">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2.3 Declare an awareness of and working within the UKCP Code of Ethics and Professional Practice.</w:t>
      </w:r>
    </w:p>
    <w:p w14:paraId="39AF2FF5">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 xml:space="preserve">2.4 Record a description of the nature of supervision received over the previous 5 years and an assessment of the impact this has had on your therapeutic work. </w:t>
      </w:r>
    </w:p>
    <w:p w14:paraId="397A0FD0">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 xml:space="preserve">2.5 Provide a quantitative and qualitative description of their continuing professional development set out in the CPJA CPD policy 2020. </w:t>
      </w:r>
    </w:p>
    <w:p w14:paraId="2448CB3D">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 xml:space="preserve">2.6 Proof of an up-to-date indemnity insurance policy </w:t>
      </w:r>
    </w:p>
    <w:p w14:paraId="66A566D7">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2.7 Details of a professional will</w:t>
      </w:r>
    </w:p>
    <w:p w14:paraId="68F8485A">
      <w:pPr>
        <w:spacing w:after="0" w:line="240" w:lineRule="auto"/>
        <w:rPr>
          <w:rFonts w:cstheme="minorHAnsi"/>
          <w:color w:val="000000" w:themeColor="text1"/>
          <w14:textFill>
            <w14:solidFill>
              <w14:schemeClr w14:val="tx1"/>
            </w14:solidFill>
          </w14:textFill>
        </w:rPr>
      </w:pPr>
    </w:p>
    <w:p w14:paraId="1A67953C">
      <w:pPr>
        <w:spacing w:after="0" w:line="240" w:lineRule="auto"/>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 xml:space="preserve">For Organisational Members </w:t>
      </w:r>
    </w:p>
    <w:p w14:paraId="47324FC8">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3. The requirements above are a minimum and you may set your own policies, which may have additional requirements. Adherence to CPJA and UKCP 5-year reaccreditation is assessed by the Organisational Members Review (OMR).</w:t>
      </w:r>
    </w:p>
    <w:p w14:paraId="0AD9A7CD">
      <w:pPr>
        <w:spacing w:after="0" w:line="240" w:lineRule="auto"/>
        <w:rPr>
          <w:rFonts w:cstheme="minorHAnsi"/>
          <w:b/>
          <w:bCs/>
          <w:color w:val="000000" w:themeColor="text1"/>
          <w14:textFill>
            <w14:solidFill>
              <w14:schemeClr w14:val="tx1"/>
            </w14:solidFill>
          </w14:textFill>
        </w:rPr>
      </w:pPr>
    </w:p>
    <w:p w14:paraId="0A850E3E">
      <w:pPr>
        <w:spacing w:after="0" w:line="240" w:lineRule="auto"/>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 xml:space="preserve">For Direct members (DMs) </w:t>
      </w:r>
    </w:p>
    <w:p w14:paraId="5134A7B7">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4. Arrange a 50/60 conversation with a chosen Peer reviewer. Both you and your reviewer will complete reflection of this conversation and send with all other evidence to your second reviewer.</w:t>
      </w:r>
    </w:p>
    <w:p w14:paraId="1DCA7677">
      <w:pPr>
        <w:spacing w:after="0" w:line="240" w:lineRule="auto"/>
        <w:rPr>
          <w:rFonts w:cstheme="minorHAnsi"/>
          <w:color w:val="000000" w:themeColor="text1"/>
          <w14:textFill>
            <w14:solidFill>
              <w14:schemeClr w14:val="tx1"/>
            </w14:solidFill>
          </w14:textFill>
        </w:rPr>
      </w:pPr>
    </w:p>
    <w:p w14:paraId="694C93D5">
      <w:pPr>
        <w:spacing w:after="0" w:line="240" w:lineRule="auto"/>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DM reviewers</w:t>
      </w:r>
    </w:p>
    <w:p w14:paraId="7632C552">
      <w:pPr>
        <w:spacing w:after="0" w:line="240" w:lineRule="auto"/>
        <w:rPr>
          <w:rFonts w:cstheme="minorHAnsi"/>
          <w:color w:val="000000" w:themeColor="text1"/>
          <w14:textFill>
            <w14:solidFill>
              <w14:schemeClr w14:val="tx1"/>
            </w14:solidFill>
          </w14:textFill>
        </w:rPr>
      </w:pPr>
    </w:p>
    <w:p w14:paraId="2424AC4D">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4.1 A DM reviewer must be in active psychoanalytic/psychodynamic clinical practice and be fully aware of the CPJA and UKCP requirements for reaccreditation. CPJA provide an interactive session (online) to familiarise reviewers with the process. Reviewers will have been in practice for at least 5 years and not subject to any fitness to practice sanctions. DM reviewers are provided with a contract with UKCP which includes remuneration. Reviewers will meet biannually with the CPJA reaccreditation committee, to share good practice and contribute to the refreshment of CPJA reaccreditation policies and procedures.</w:t>
      </w:r>
    </w:p>
    <w:p w14:paraId="7976BE3C">
      <w:pPr>
        <w:spacing w:after="0" w:line="240" w:lineRule="auto"/>
        <w:rPr>
          <w:rFonts w:cstheme="minorHAnsi"/>
          <w:color w:val="000000" w:themeColor="text1"/>
          <w14:textFill>
            <w14:solidFill>
              <w14:schemeClr w14:val="tx1"/>
            </w14:solidFill>
          </w14:textFill>
        </w:rPr>
      </w:pPr>
    </w:p>
    <w:p w14:paraId="6510C881">
      <w:pPr>
        <w:spacing w:after="0" w:line="240" w:lineRule="auto"/>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5.Appeals</w:t>
      </w:r>
    </w:p>
    <w:p w14:paraId="1DC93332">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5.1 All reaccreditation policies must have an appeals process which is fair, equitable, transparent and be available to those seeking reaccreditation. For IM’s who are members of an OM, this is assessed at the OMR.</w:t>
      </w:r>
    </w:p>
    <w:p w14:paraId="10E1A7AA">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5.2 The appeals process for DMs are set out in the CPJA 5-year reaccreditation policy for DMs.</w:t>
      </w:r>
    </w:p>
    <w:p w14:paraId="75846D9E">
      <w:pPr>
        <w:pStyle w:val="17"/>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5.3 A Direct</w:t>
      </w:r>
      <w:r>
        <w:rPr>
          <w:rStyle w:val="18"/>
          <w:rFonts w:asciiTheme="minorHAnsi" w:hAnsiTheme="minorHAnsi" w:cstheme="minorHAnsi"/>
          <w:color w:val="000000" w:themeColor="text1"/>
          <w:sz w:val="22"/>
          <w:szCs w:val="22"/>
          <w14:textFill>
            <w14:solidFill>
              <w14:schemeClr w14:val="tx1"/>
            </w14:solidFill>
          </w14:textFill>
        </w:rPr>
        <w:t xml:space="preserve"> Member can appeal to the CPJA Training Standards Committee (TSC) Chair providing details of why they believe the process has not been followed correctly. The Chair will acknowledge receipt of the appeal within 7 days. If the TSC Chair has a conflict of interest another member of the TSC will be appointed in their place.</w:t>
      </w:r>
    </w:p>
    <w:p w14:paraId="5FA3AE5A">
      <w:pPr>
        <w:pStyle w:val="17"/>
        <w:rPr>
          <w:rStyle w:val="18"/>
          <w:rFonts w:asciiTheme="minorHAnsi" w:hAnsiTheme="minorHAnsi" w:cstheme="minorHAnsi"/>
          <w:color w:val="000000" w:themeColor="text1"/>
          <w:sz w:val="22"/>
          <w:szCs w:val="22"/>
          <w14:textFill>
            <w14:solidFill>
              <w14:schemeClr w14:val="tx1"/>
            </w14:solidFill>
          </w14:textFill>
        </w:rPr>
      </w:pPr>
      <w:r>
        <w:rPr>
          <w:rStyle w:val="18"/>
          <w:rFonts w:asciiTheme="minorHAnsi" w:hAnsiTheme="minorHAnsi" w:cstheme="minorHAnsi"/>
          <w:color w:val="000000" w:themeColor="text1"/>
          <w:sz w:val="22"/>
          <w:szCs w:val="22"/>
          <w14:textFill>
            <w14:solidFill>
              <w14:schemeClr w14:val="tx1"/>
            </w14:solidFill>
          </w14:textFill>
        </w:rPr>
        <w:t>Within 30 days from date of the appeal, Training Standards Committee Chair or Committee member will review the case, based on the paper evidence, and conclude whether to appoint a new RC assessor, or uphold decision, and will inform the DM concerned and UKCP.</w:t>
      </w:r>
    </w:p>
    <w:p w14:paraId="7CB86C0F">
      <w:pPr>
        <w:pStyle w:val="17"/>
        <w:rPr>
          <w:rFonts w:asciiTheme="minorHAnsi" w:hAnsiTheme="minorHAnsi" w:cstheme="minorHAnsi"/>
          <w:color w:val="000000" w:themeColor="text1"/>
          <w:sz w:val="22"/>
          <w:szCs w:val="22"/>
          <w14:textFill>
            <w14:solidFill>
              <w14:schemeClr w14:val="tx1"/>
            </w14:solidFill>
          </w14:textFill>
        </w:rPr>
      </w:pPr>
      <w:r>
        <w:rPr>
          <w:rStyle w:val="18"/>
          <w:rFonts w:asciiTheme="minorHAnsi" w:hAnsiTheme="minorHAnsi" w:cstheme="minorHAnsi"/>
          <w:color w:val="000000" w:themeColor="text1"/>
          <w:sz w:val="22"/>
          <w:szCs w:val="22"/>
          <w14:textFill>
            <w14:solidFill>
              <w14:schemeClr w14:val="tx1"/>
            </w14:solidFill>
          </w14:textFill>
        </w:rPr>
        <w:t>Where relevant, a further 30 days will be available for a new RC assessor to review the decision, again based on the paper evidence. The DM and UKCP will then be informed of the outcome and where the reaccreditation is deemed to have failed the case will be referred to the UKCP Membership Committee (MC).</w:t>
      </w:r>
    </w:p>
    <w:p w14:paraId="5D951057">
      <w:pPr>
        <w:spacing w:after="0" w:line="240" w:lineRule="auto"/>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 xml:space="preserve">6. Failure to meet the requirements of reaccreditation </w:t>
      </w:r>
    </w:p>
    <w:p w14:paraId="2E552AE6">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6.1 Registrants, who are IMs of an OM will be referred to the UKCP membership committee (MC) by their OM</w:t>
      </w:r>
    </w:p>
    <w:p w14:paraId="1B5CE869">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6.2 Registrants, who are DMs, will be referred to the MC by the CPJA reaccreditation committee (RC)</w:t>
      </w:r>
    </w:p>
    <w:p w14:paraId="78A9565F">
      <w:pPr>
        <w:spacing w:after="0" w:line="240" w:lineRule="auto"/>
        <w:rPr>
          <w:rFonts w:cstheme="minorHAnsi"/>
          <w:color w:val="000000" w:themeColor="text1"/>
          <w14:textFill>
            <w14:solidFill>
              <w14:schemeClr w14:val="tx1"/>
            </w14:solidFill>
          </w14:textFill>
        </w:rPr>
      </w:pPr>
    </w:p>
    <w:p w14:paraId="6984F0FB">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The CPJA Reaccreditation committee (RC) 2020</w:t>
      </w:r>
    </w:p>
    <w:p w14:paraId="3A4ED01C">
      <w:pPr>
        <w:spacing w:after="0" w:line="240"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With amendments August 2022</w:t>
      </w:r>
    </w:p>
    <w:p w14:paraId="092D1C64">
      <w:pPr>
        <w:spacing w:after="0" w:line="240" w:lineRule="auto"/>
        <w:rPr>
          <w:rFonts w:cstheme="minorHAnsi"/>
        </w:rPr>
      </w:pPr>
    </w:p>
    <w:sectPr>
      <w:headerReference r:id="rId5" w:type="default"/>
      <w:pgSz w:w="12240" w:h="15840"/>
      <w:pgMar w:top="1440" w:right="1183" w:bottom="993" w:left="1440" w:header="426"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049E">
    <w:pPr>
      <w:spacing w:after="0" w:line="240" w:lineRule="auto"/>
      <w:rPr>
        <w:rFonts w:ascii="Arial" w:hAnsi="Arial" w:eastAsia="Times New Roman" w:cs="Arial"/>
        <w:sz w:val="24"/>
        <w:szCs w:val="24"/>
      </w:rPr>
    </w:pPr>
  </w:p>
  <w:p w14:paraId="2CB512FE">
    <w:pPr>
      <w:tabs>
        <w:tab w:val="center" w:pos="4320"/>
        <w:tab w:val="right" w:pos="8640"/>
      </w:tabs>
      <w:spacing w:after="0" w:line="240" w:lineRule="auto"/>
      <w:ind w:hanging="284"/>
      <w:rPr>
        <w:rFonts w:ascii="Calibri" w:hAnsi="Calibri" w:eastAsia="Times New Roman" w:cs="Times New Roman"/>
        <w:sz w:val="20"/>
        <w:szCs w:val="20"/>
      </w:rPr>
    </w:pPr>
    <w: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793115</wp:posOffset>
              </wp:positionV>
              <wp:extent cx="4800600" cy="0"/>
              <wp:effectExtent l="0" t="0" r="0" b="3810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350">
                        <a:solidFill>
                          <a:srgbClr val="000000"/>
                        </a:solidFill>
                        <a:round/>
                      </a:ln>
                      <a:effectLst>
                        <a:outerShdw dist="20000" dir="5400000" rotWithShape="0">
                          <a:srgbClr val="808080">
                            <a:alpha val="37999"/>
                          </a:srgbClr>
                        </a:outerShdw>
                      </a:effectLst>
                    </wps:spPr>
                    <wps:bodyPr/>
                  </wps:wsp>
                </a:graphicData>
              </a:graphic>
            </wp:anchor>
          </w:drawing>
        </mc:Choice>
        <mc:Fallback>
          <w:pict>
            <v:line id="_x0000_s1026" o:spid="_x0000_s1026" o:spt="20" style="position:absolute;left:0pt;margin-left:108pt;margin-top:62.45pt;height:0pt;width:378pt;z-index:251660288;mso-width-relative:page;mso-height-relative:page;" filled="f" stroked="t" coordsize="21600,21600" o:gfxdata="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ZxQadgAAAALAQAADwAA&#10;AAAAAAABACAAAAAiAAAAZHJzL2Rvd25yZXYueG1sUEsBAhQAFAAAAAgAh07iQI5mxdoWAgAASQQA&#10;AA4AAAAAAAAAAQAgAAAAJwEAAGRycy9lMm9Eb2MueG1sUEsFBgAAAAAGAAYAWQEAAK8FAAAAAA==&#10;">
              <v:fill on="f" focussize="0,0"/>
              <v:stroke weight="0.5pt" color="#000000" joinstyle="round"/>
              <v:imagedata o:title=""/>
              <o:lock v:ext="edit" aspectratio="f"/>
              <v:shadow on="t" color="#808080" opacity="24903f" offset="0pt,1.5748031496063pt" origin="0f,32768f" matrix="65536f,0f,0f,65536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431800</wp:posOffset>
              </wp:positionV>
              <wp:extent cx="2514600" cy="228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146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60842F">
                          <w:pPr>
                            <w:rPr>
                              <w:color w:val="990101"/>
                              <w:sz w:val="16"/>
                              <w:szCs w:val="16"/>
                            </w:rPr>
                          </w:pPr>
                          <w:r>
                            <w:fldChar w:fldCharType="begin"/>
                          </w:r>
                          <w:r>
                            <w:instrText xml:space="preserve"> HYPERLINK </w:instrText>
                          </w:r>
                          <w:r>
                            <w:fldChar w:fldCharType="separate"/>
                          </w:r>
                          <w:r>
                            <w:rPr>
                              <w:rStyle w:val="10"/>
                              <w:color w:val="990101"/>
                              <w:sz w:val="16"/>
                              <w:szCs w:val="16"/>
                            </w:rPr>
                            <w:t xml:space="preserve"> www.cpja.org</w:t>
                          </w:r>
                          <w:r>
                            <w:rPr>
                              <w:rStyle w:val="10"/>
                              <w:color w:val="990101"/>
                              <w:sz w:val="16"/>
                              <w:szCs w:val="16"/>
                            </w:rPr>
                            <w:fldChar w:fldCharType="end"/>
                          </w:r>
                          <w:r>
                            <w:rPr>
                              <w:color w:val="990101"/>
                              <w:sz w:val="16"/>
                              <w:szCs w:val="16"/>
                            </w:rPr>
                            <w:t xml:space="preserve">   </w:t>
                          </w:r>
                          <w:r>
                            <w:fldChar w:fldCharType="begin"/>
                          </w:r>
                          <w:r>
                            <w:instrText xml:space="preserve"> HYPERLINK "mailto:info@cpja.org.uk" </w:instrText>
                          </w:r>
                          <w:r>
                            <w:fldChar w:fldCharType="separate"/>
                          </w:r>
                          <w:r>
                            <w:rPr>
                              <w:rStyle w:val="10"/>
                              <w:color w:val="990101"/>
                              <w:sz w:val="16"/>
                              <w:szCs w:val="16"/>
                            </w:rPr>
                            <w:t>info@cpja.org.uk</w:t>
                          </w:r>
                          <w:r>
                            <w:rPr>
                              <w:rStyle w:val="10"/>
                              <w:color w:val="990101"/>
                              <w:sz w:val="16"/>
                              <w:szCs w:val="16"/>
                            </w:rPr>
                            <w:fldChar w:fldCharType="end"/>
                          </w:r>
                          <w:r>
                            <w:rPr>
                              <w:color w:val="990101"/>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pt;margin-top:34pt;height:18pt;width:198pt;z-index:251661312;mso-width-relative:page;mso-height-relative:page;" filled="f" stroked="f" coordsize="21600,21600" o:gfxdata="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eqO&#10;U9QAAAAKAQAADwAAAAAAAAABACAAAAAiAAAAZHJzL2Rvd25yZXYueG1sUEsBAhQAFAAAAAgAh07i&#10;QJzTPJ4mAgAAagQAAA4AAAAAAAAAAQAgAAAAIwEAAGRycy9lMm9Eb2MueG1sUEsFBgAAAAAGAAYA&#10;WQEAALsFAAAAAA==&#10;">
              <v:fill on="f" focussize="0,0"/>
              <v:stroke on="f"/>
              <v:imagedata o:title=""/>
              <o:lock v:ext="edit" aspectratio="f"/>
              <v:textbox>
                <w:txbxContent>
                  <w:p w14:paraId="6D60842F">
                    <w:pPr>
                      <w:rPr>
                        <w:color w:val="990101"/>
                        <w:sz w:val="16"/>
                        <w:szCs w:val="16"/>
                      </w:rPr>
                    </w:pPr>
                    <w:r>
                      <w:fldChar w:fldCharType="begin"/>
                    </w:r>
                    <w:r>
                      <w:instrText xml:space="preserve"> HYPERLINK </w:instrText>
                    </w:r>
                    <w:r>
                      <w:fldChar w:fldCharType="separate"/>
                    </w:r>
                    <w:r>
                      <w:rPr>
                        <w:rStyle w:val="10"/>
                        <w:color w:val="990101"/>
                        <w:sz w:val="16"/>
                        <w:szCs w:val="16"/>
                      </w:rPr>
                      <w:t xml:space="preserve"> www.cpja.org</w:t>
                    </w:r>
                    <w:r>
                      <w:rPr>
                        <w:rStyle w:val="10"/>
                        <w:color w:val="990101"/>
                        <w:sz w:val="16"/>
                        <w:szCs w:val="16"/>
                      </w:rPr>
                      <w:fldChar w:fldCharType="end"/>
                    </w:r>
                    <w:r>
                      <w:rPr>
                        <w:color w:val="990101"/>
                        <w:sz w:val="16"/>
                        <w:szCs w:val="16"/>
                      </w:rPr>
                      <w:t xml:space="preserve">   </w:t>
                    </w:r>
                    <w:r>
                      <w:fldChar w:fldCharType="begin"/>
                    </w:r>
                    <w:r>
                      <w:instrText xml:space="preserve"> HYPERLINK "mailto:info@cpja.org.uk" </w:instrText>
                    </w:r>
                    <w:r>
                      <w:fldChar w:fldCharType="separate"/>
                    </w:r>
                    <w:r>
                      <w:rPr>
                        <w:rStyle w:val="10"/>
                        <w:color w:val="990101"/>
                        <w:sz w:val="16"/>
                        <w:szCs w:val="16"/>
                      </w:rPr>
                      <w:t>info@cpja.org.uk</w:t>
                    </w:r>
                    <w:r>
                      <w:rPr>
                        <w:rStyle w:val="10"/>
                        <w:color w:val="990101"/>
                        <w:sz w:val="16"/>
                        <w:szCs w:val="16"/>
                      </w:rPr>
                      <w:fldChar w:fldCharType="end"/>
                    </w:r>
                    <w:r>
                      <w:rPr>
                        <w:color w:val="990101"/>
                        <w:sz w:val="16"/>
                        <w:szCs w:val="16"/>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203200</wp:posOffset>
              </wp:positionV>
              <wp:extent cx="331470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3147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9292CE">
                          <w:r>
                            <w:t>Council for Psychoanalysis and Jungian Analysis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pt;margin-top:16pt;height:27pt;width:261pt;z-index:251659264;mso-width-relative:page;mso-height-relative:page;" filled="f" stroked="f" coordsize="21600,21600" o:gfxdata="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4&#10;K2Kn1gAAAAkBAAAPAAAAAAAAAAEAIAAAACIAAABkcnMvZG93bnJldi54bWxQSwECFAAUAAAACACH&#10;TuJA3MWU7yYCAABqBAAADgAAAAAAAAABACAAAAAlAQAAZHJzL2Uyb0RvYy54bWxQSwUGAAAAAAYA&#10;BgBZAQAAvQUAAAAA&#10;">
              <v:fill on="f" focussize="0,0"/>
              <v:stroke on="f"/>
              <v:imagedata o:title=""/>
              <o:lock v:ext="edit" aspectratio="f"/>
              <v:textbox>
                <w:txbxContent>
                  <w:p w14:paraId="059292CE">
                    <w:r>
                      <w:t>Council for Psychoanalysis and Jungian Analysis</w:t>
                    </w:r>
                  </w:p>
                </w:txbxContent>
              </v:textbox>
            </v:shape>
          </w:pict>
        </mc:Fallback>
      </mc:AlternateContent>
    </w:r>
    <w:r>
      <w:rPr>
        <w:rFonts w:ascii="Calibri" w:hAnsi="Calibri" w:eastAsia="Times New Roman" w:cs="Times New Roman"/>
        <w:sz w:val="20"/>
        <w:szCs w:val="20"/>
        <w:lang w:val="en-GB" w:eastAsia="en-GB"/>
      </w:rPr>
      <w:drawing>
        <wp:inline distT="0" distB="0" distL="0" distR="0">
          <wp:extent cx="1257300" cy="670560"/>
          <wp:effectExtent l="0" t="0" r="0" b="0"/>
          <wp:docPr id="708537310" name="Picture 708537310" descr="Macintosh HD:Users:paulatkinson:Desktop:Untitl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37310" name="Picture 708537310" descr="Macintosh HD:Users:paulatkinson:Desktop:Untitled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670560"/>
                  </a:xfrm>
                  <a:prstGeom prst="rect">
                    <a:avLst/>
                  </a:prstGeom>
                  <a:noFill/>
                  <a:ln>
                    <a:noFill/>
                  </a:ln>
                </pic:spPr>
              </pic:pic>
            </a:graphicData>
          </a:graphic>
        </wp:inline>
      </w:drawing>
    </w:r>
    <w:r>
      <w:rPr>
        <w:rFonts w:ascii="Calibri" w:hAnsi="Calibri" w:eastAsia="Times New Roman" w:cs="Times New Roman"/>
        <w:sz w:val="20"/>
        <w:szCs w:val="20"/>
      </w:rPr>
      <w:t xml:space="preserve">                                                                                                                              </w:t>
    </w:r>
    <w:r>
      <w:rPr>
        <w:rFonts w:ascii="Calibri" w:hAnsi="Calibri" w:eastAsia="Times New Roman" w:cs="Times New Roman"/>
        <w:sz w:val="20"/>
        <w:szCs w:val="20"/>
        <w:lang w:val="en-GB" w:eastAsia="en-GB"/>
      </w:rPr>
      <w:drawing>
        <wp:inline distT="0" distB="0" distL="0" distR="0">
          <wp:extent cx="975360" cy="533400"/>
          <wp:effectExtent l="0" t="0" r="0" b="0"/>
          <wp:docPr id="938193968" name="Picture 938193968" descr="Macintosh HD:Users:paulatkinson:Desktop:ukc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93968" name="Picture 938193968" descr="Macintosh HD:Users:paulatkinson:Desktop:ukcplogo-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975360" cy="533400"/>
                  </a:xfrm>
                  <a:prstGeom prst="rect">
                    <a:avLst/>
                  </a:prstGeom>
                  <a:noFill/>
                  <a:ln>
                    <a:noFill/>
                  </a:ln>
                </pic:spPr>
              </pic:pic>
            </a:graphicData>
          </a:graphic>
        </wp:inline>
      </w:drawing>
    </w:r>
  </w:p>
  <w:p w14:paraId="39A65BD6">
    <w:pPr>
      <w:spacing w:after="0" w:line="240" w:lineRule="auto"/>
      <w:rPr>
        <w:rFonts w:ascii="Arial" w:hAnsi="Arial" w:eastAsia="MS Mincho" w:cs="Arial"/>
        <w:bCs/>
        <w:sz w:val="20"/>
        <w:szCs w:val="20"/>
      </w:rPr>
    </w:pPr>
  </w:p>
  <w:p w14:paraId="3E1DF81C">
    <w:pPr>
      <w:spacing w:after="0" w:line="240" w:lineRule="auto"/>
      <w:rPr>
        <w:rFonts w:ascii="Arial" w:hAnsi="Arial" w:eastAsia="MS Mincho" w:cs="Arial"/>
        <w:bCs/>
        <w:sz w:val="20"/>
        <w:szCs w:val="20"/>
      </w:rPr>
    </w:pPr>
  </w:p>
  <w:p w14:paraId="1EC41C12">
    <w:pPr>
      <w:spacing w:after="0" w:line="240" w:lineRule="auto"/>
      <w:rPr>
        <w:rFonts w:ascii="Calibri" w:hAnsi="Calibri" w:eastAsia="MS Mincho" w:cs="Calibri"/>
        <w:bCs/>
        <w:sz w:val="20"/>
        <w:szCs w:val="20"/>
      </w:rPr>
    </w:pPr>
  </w:p>
  <w:p w14:paraId="1723DD30">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F8"/>
    <w:rsid w:val="000071D7"/>
    <w:rsid w:val="00022435"/>
    <w:rsid w:val="0003411A"/>
    <w:rsid w:val="00043743"/>
    <w:rsid w:val="00073159"/>
    <w:rsid w:val="000B7DBB"/>
    <w:rsid w:val="000D0918"/>
    <w:rsid w:val="000D7AC6"/>
    <w:rsid w:val="000F7F36"/>
    <w:rsid w:val="00114932"/>
    <w:rsid w:val="00175ED9"/>
    <w:rsid w:val="00270C90"/>
    <w:rsid w:val="002802C9"/>
    <w:rsid w:val="002C584E"/>
    <w:rsid w:val="002C62A9"/>
    <w:rsid w:val="002F1469"/>
    <w:rsid w:val="003060AC"/>
    <w:rsid w:val="003117D8"/>
    <w:rsid w:val="003404FF"/>
    <w:rsid w:val="003A7171"/>
    <w:rsid w:val="003C5BF8"/>
    <w:rsid w:val="003E61F8"/>
    <w:rsid w:val="003F1802"/>
    <w:rsid w:val="00497BCF"/>
    <w:rsid w:val="004B3A5D"/>
    <w:rsid w:val="00527661"/>
    <w:rsid w:val="00534046"/>
    <w:rsid w:val="0057784D"/>
    <w:rsid w:val="00612338"/>
    <w:rsid w:val="00612E9C"/>
    <w:rsid w:val="00742A78"/>
    <w:rsid w:val="0080633B"/>
    <w:rsid w:val="00872E40"/>
    <w:rsid w:val="009129AD"/>
    <w:rsid w:val="00940D40"/>
    <w:rsid w:val="00964E21"/>
    <w:rsid w:val="00982B1A"/>
    <w:rsid w:val="009871DE"/>
    <w:rsid w:val="00994035"/>
    <w:rsid w:val="00A0210F"/>
    <w:rsid w:val="00A26664"/>
    <w:rsid w:val="00B14F5B"/>
    <w:rsid w:val="00B81FC6"/>
    <w:rsid w:val="00C13819"/>
    <w:rsid w:val="00C315BB"/>
    <w:rsid w:val="00C8275F"/>
    <w:rsid w:val="00D25E46"/>
    <w:rsid w:val="00D41FE4"/>
    <w:rsid w:val="00D93A22"/>
    <w:rsid w:val="00E1795B"/>
    <w:rsid w:val="00E42FC6"/>
    <w:rsid w:val="00E4487A"/>
    <w:rsid w:val="00E67CE8"/>
    <w:rsid w:val="00E84A75"/>
    <w:rsid w:val="00ED13DB"/>
    <w:rsid w:val="00EF29DA"/>
    <w:rsid w:val="00F07155"/>
    <w:rsid w:val="00F31CCA"/>
    <w:rsid w:val="18781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paragraph" w:styleId="7">
    <w:name w:val="annotation subject"/>
    <w:basedOn w:val="6"/>
    <w:next w:val="6"/>
    <w:link w:val="13"/>
    <w:semiHidden/>
    <w:unhideWhenUsed/>
    <w:uiPriority w:val="99"/>
    <w:rPr>
      <w:b/>
      <w:bCs/>
    </w:rPr>
  </w:style>
  <w:style w:type="paragraph" w:styleId="8">
    <w:name w:val="footer"/>
    <w:basedOn w:val="1"/>
    <w:link w:val="16"/>
    <w:unhideWhenUsed/>
    <w:uiPriority w:val="99"/>
    <w:pPr>
      <w:tabs>
        <w:tab w:val="center" w:pos="4513"/>
        <w:tab w:val="right" w:pos="9026"/>
      </w:tabs>
      <w:spacing w:after="0" w:line="240" w:lineRule="auto"/>
    </w:pPr>
  </w:style>
  <w:style w:type="paragraph" w:styleId="9">
    <w:name w:val="header"/>
    <w:basedOn w:val="1"/>
    <w:link w:val="15"/>
    <w:unhideWhenUsed/>
    <w:uiPriority w:val="99"/>
    <w:pPr>
      <w:tabs>
        <w:tab w:val="center" w:pos="4513"/>
        <w:tab w:val="right" w:pos="9026"/>
      </w:tabs>
      <w:spacing w:after="0" w:line="240" w:lineRule="auto"/>
    </w:pPr>
  </w:style>
  <w:style w:type="character" w:styleId="10">
    <w:name w:val="Hyperlink"/>
    <w:qFormat/>
    <w:uiPriority w:val="99"/>
    <w:rPr>
      <w:rFonts w:cs="Times New Roman"/>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12">
    <w:name w:val="Comment Text Char"/>
    <w:basedOn w:val="2"/>
    <w:link w:val="6"/>
    <w:semiHidden/>
    <w:uiPriority w:val="99"/>
    <w:rPr>
      <w:sz w:val="20"/>
      <w:szCs w:val="20"/>
    </w:rPr>
  </w:style>
  <w:style w:type="character" w:customStyle="1" w:styleId="13">
    <w:name w:val="Comment Subject Char"/>
    <w:basedOn w:val="12"/>
    <w:link w:val="7"/>
    <w:semiHidden/>
    <w:uiPriority w:val="99"/>
    <w:rPr>
      <w:b/>
      <w:bCs/>
      <w:sz w:val="20"/>
      <w:szCs w:val="20"/>
    </w:rPr>
  </w:style>
  <w:style w:type="character" w:customStyle="1" w:styleId="14">
    <w:name w:val="Balloon Text Char"/>
    <w:basedOn w:val="2"/>
    <w:link w:val="4"/>
    <w:semiHidden/>
    <w:qFormat/>
    <w:uiPriority w:val="99"/>
    <w:rPr>
      <w:rFonts w:ascii="Segoe UI" w:hAnsi="Segoe UI" w:cs="Segoe UI"/>
      <w:sz w:val="18"/>
      <w:szCs w:val="18"/>
    </w:rPr>
  </w:style>
  <w:style w:type="character" w:customStyle="1" w:styleId="15">
    <w:name w:val="Header Char"/>
    <w:basedOn w:val="2"/>
    <w:link w:val="9"/>
    <w:uiPriority w:val="99"/>
  </w:style>
  <w:style w:type="character" w:customStyle="1" w:styleId="16">
    <w:name w:val="Footer Char"/>
    <w:basedOn w:val="2"/>
    <w:link w:val="8"/>
    <w:qFormat/>
    <w:uiPriority w:val="99"/>
  </w:style>
  <w:style w:type="paragraph" w:customStyle="1" w:styleId="17">
    <w:name w:val="pf0"/>
    <w:basedOn w:val="1"/>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18">
    <w:name w:val="cf01"/>
    <w:basedOn w:val="2"/>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9b4781-a233-4cde-ae39-95166fd20bb0">
      <Terms xmlns="http://schemas.microsoft.com/office/infopath/2007/PartnerControls"/>
    </lcf76f155ced4ddcb4097134ff3c332f>
    <TaxCatchAll xmlns="2307ddd6-3906-4f78-95c2-7d6911e98c5a" xsi:nil="true"/>
    <_dlc_DocId xmlns="2307ddd6-3906-4f78-95c2-7d6911e98c5a">SZKV5ZMNWZ5V-1788924751-777361</_dlc_DocId>
    <_dlc_DocIdUrl xmlns="2307ddd6-3906-4f78-95c2-7d6911e98c5a">
      <Url>https://ukcporg.sharepoint.com/sites/UKCPFILES/_layouts/15/DocIdRedir.aspx?ID=SZKV5ZMNWZ5V-1788924751-777361</Url>
      <Description>SZKV5ZMNWZ5V-1788924751-777361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CA7E3629E4E440BF4C7867C26163CC" ma:contentTypeVersion="18" ma:contentTypeDescription="Create a new document." ma:contentTypeScope="" ma:versionID="c9424d6b6cb9bf8f7cd61305ef2da486">
  <xsd:schema xmlns:xsd="http://www.w3.org/2001/XMLSchema" xmlns:xs="http://www.w3.org/2001/XMLSchema" xmlns:p="http://schemas.microsoft.com/office/2006/metadata/properties" xmlns:ns2="2307ddd6-3906-4f78-95c2-7d6911e98c5a" xmlns:ns3="079b4781-a233-4cde-ae39-95166fd20bb0" targetNamespace="http://schemas.microsoft.com/office/2006/metadata/properties" ma:root="true" ma:fieldsID="aac698a0ba684892f84b5af769a68561" ns2:_="" ns3:_="">
    <xsd:import namespace="2307ddd6-3906-4f78-95c2-7d6911e98c5a"/>
    <xsd:import namespace="079b4781-a233-4cde-ae39-95166fd20bb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7ddd6-3906-4f78-95c2-7d6911e98c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070b8f6-09e4-412e-bd4c-7d9ad8471a54}" ma:internalName="TaxCatchAll" ma:showField="CatchAllData" ma:web="2307ddd6-3906-4f78-95c2-7d6911e98c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b4781-a233-4cde-ae39-95166fd20b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cdc07f8-5e1d-4a9d-a621-5320f74a58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14CB4-2655-4499-8EE6-63213BA5B96F}">
  <ds:schemaRefs/>
</ds:datastoreItem>
</file>

<file path=customXml/itemProps3.xml><?xml version="1.0" encoding="utf-8"?>
<ds:datastoreItem xmlns:ds="http://schemas.openxmlformats.org/officeDocument/2006/customXml" ds:itemID="{8C72A46F-CD3E-4A8F-A697-C7C1D71DC371}">
  <ds:schemaRefs/>
</ds:datastoreItem>
</file>

<file path=customXml/itemProps4.xml><?xml version="1.0" encoding="utf-8"?>
<ds:datastoreItem xmlns:ds="http://schemas.openxmlformats.org/officeDocument/2006/customXml" ds:itemID="{29686930-D9A1-461F-A5B9-7E300E7CCC33}">
  <ds:schemaRefs/>
</ds:datastoreItem>
</file>

<file path=customXml/itemProps5.xml><?xml version="1.0" encoding="utf-8"?>
<ds:datastoreItem xmlns:ds="http://schemas.openxmlformats.org/officeDocument/2006/customXml" ds:itemID="{58B993FB-A234-494B-B5E8-1ED5E5BC5C73}">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768</Words>
  <Characters>4383</Characters>
  <Lines>36</Lines>
  <Paragraphs>10</Paragraphs>
  <TotalTime>1</TotalTime>
  <ScaleCrop>false</ScaleCrop>
  <LinksUpToDate>false</LinksUpToDate>
  <CharactersWithSpaces>5141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2025-11-14T15:05:00Z</dcterms:created>
  <dc:creator>Katrina Ashton</dc:creator>
  <cp:lastModifiedBy>Rita Dobson</cp:lastModifiedBy>
  <dcterms:modified xsi:type="dcterms:W3CDTF">2025-12-02T17:19:51Z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0x01010008CA7E3629E4E440BF4C7867C26163CC</vt:lpwstr>
  </property>
  <property fmtid="{D5CDD505-2E9C-101B-9397-08002B2CF9AE}" pid="3" name="_dlc_DocIdItemGuid">
    <vt:lpwstr>f2fd44f7-23ac-4cb4-9872-d5f20b09dc2d</vt:lpwstr>
  </property>
  <property fmtid="{D5CDD505-2E9C-101B-9397-08002B2CF9AE}" pid="4" name="MediaServiceImageTags">
    <vt:lpwstr/>
  </property>
  <property fmtid="{D5CDD505-2E9C-101B-9397-08002B2CF9AE}" pid="5" name="KSOProductBuildVer">
    <vt:lpwstr>1033-12.2.0.23155</vt:lpwstr>
  </property>
  <property fmtid="{D5CDD505-2E9C-101B-9397-08002B2CF9AE}" pid="6" name="ICV">
    <vt:lpwstr>21DBCDE982444726BE5D2ED57C79C7CC_13</vt:lpwstr>
  </property>
</Properties>
</file>